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0CD" w14:textId="77777777" w:rsidR="002E6AA9" w:rsidRDefault="00000000">
      <w:pPr>
        <w:spacing w:after="60"/>
        <w:jc w:val="center"/>
      </w:pPr>
      <w:r>
        <w:rPr>
          <w:b/>
          <w:bCs/>
          <w:color w:val="D35400"/>
          <w:sz w:val="32"/>
          <w:szCs w:val="32"/>
        </w:rPr>
        <w:t>L’énergie : dans l’espace et sur l’océan</w:t>
      </w:r>
    </w:p>
    <w:p w14:paraId="421B05D7" w14:textId="77777777" w:rsidR="002E6AA9" w:rsidRDefault="00000000">
      <w:pPr>
        <w:spacing w:after="200"/>
        <w:jc w:val="center"/>
      </w:pPr>
      <w:r>
        <w:rPr>
          <w:b/>
          <w:bCs/>
          <w:color w:val="FFFFFF"/>
          <w:sz w:val="18"/>
          <w:szCs w:val="18"/>
          <w:shd w:val="clear" w:color="auto" w:fill="2E5090"/>
        </w:rPr>
        <w:t>Sciences et technologie</w:t>
      </w:r>
      <w:r>
        <w:rPr>
          <w:sz w:val="18"/>
          <w:szCs w:val="18"/>
        </w:rPr>
        <w:t xml:space="preserve">   </w:t>
      </w:r>
      <w:r>
        <w:rPr>
          <w:b/>
          <w:bCs/>
          <w:color w:val="FFFFFF"/>
          <w:sz w:val="18"/>
          <w:szCs w:val="18"/>
          <w:shd w:val="clear" w:color="auto" w:fill="27AE60"/>
        </w:rPr>
        <w:t>Cycle 3 (CM1-CM2)</w:t>
      </w:r>
      <w:r>
        <w:rPr>
          <w:sz w:val="18"/>
          <w:szCs w:val="18"/>
        </w:rPr>
        <w:t xml:space="preserve">   </w:t>
      </w:r>
      <w:r>
        <w:rPr>
          <w:b/>
          <w:bCs/>
          <w:color w:val="FFFFFF"/>
          <w:sz w:val="18"/>
          <w:szCs w:val="18"/>
          <w:shd w:val="clear" w:color="auto" w:fill="D35400"/>
        </w:rPr>
        <w:t>Énergie — Sources — Renouvelable</w:t>
      </w:r>
    </w:p>
    <w:p w14:paraId="21BBD9E1" w14:textId="77777777" w:rsidR="002E6AA9" w:rsidRDefault="00000000">
      <w:pPr>
        <w:pBdr>
          <w:left w:val="single" w:sz="12" w:space="4" w:color="2E5090"/>
        </w:pBdr>
        <w:shd w:val="clear" w:color="auto" w:fill="EBF5FB"/>
        <w:spacing w:after="80"/>
      </w:pPr>
      <w:r>
        <w:rPr>
          <w:b/>
          <w:bCs/>
          <w:color w:val="2E5090"/>
        </w:rPr>
        <w:t xml:space="preserve"> Contexte : </w:t>
      </w:r>
      <w:r>
        <w:t xml:space="preserve">Sophie Adenot est actuellement à bord de la Station spatiale internationale (ISS), à 400 km au-dessus de la Terre. Violette </w:t>
      </w:r>
      <w:proofErr w:type="spellStart"/>
      <w:r>
        <w:t>Dorange</w:t>
      </w:r>
      <w:proofErr w:type="spellEnd"/>
      <w:r>
        <w:t xml:space="preserve"> a fait le tour du monde en solitaire sur son voilier IMOCA 60 lors du Vendée Globe 2024-2025. Toutes les deux ont dû produire leur propre énergie, loin de toute prise électrique !</w:t>
      </w:r>
    </w:p>
    <w:p w14:paraId="3EA25F3C" w14:textId="77777777" w:rsidR="002E6AA9" w:rsidRDefault="002E6AA9">
      <w:pPr>
        <w:spacing w:after="60"/>
      </w:pPr>
    </w:p>
    <w:p w14:paraId="762C5A1C" w14:textId="77777777" w:rsidR="002E6AA9" w:rsidRDefault="00000000">
      <w:pPr>
        <w:pStyle w:val="Titre2"/>
      </w:pPr>
      <w:r>
        <w:t>Document 1 — L’énergie à bord de l’ISS</w:t>
      </w:r>
    </w:p>
    <w:p w14:paraId="1E89D1CB" w14:textId="77777777" w:rsidR="002E6AA9" w:rsidRDefault="00000000">
      <w:pPr>
        <w:spacing w:after="100"/>
      </w:pPr>
      <w:r>
        <w:t xml:space="preserve">La Station spatiale internationale n’a pas de moteur. Elle fonctionne entièrement grâce à </w:t>
      </w:r>
      <w:r>
        <w:rPr>
          <w:b/>
          <w:bCs/>
        </w:rPr>
        <w:t>l’énergie solaire</w:t>
      </w:r>
      <w:r>
        <w:t>. Ses huit immenses panneaux solaires captent la lumière du Soleil et la transforment en électricité. Cette électricité alimente tout : les ordinateurs, les équipements scientifiques, le recyclage de l’air et de l’eau, l’éclairage et même les appareils de sport de Sophie !</w:t>
      </w:r>
    </w:p>
    <w:p w14:paraId="284228B2" w14:textId="77777777" w:rsidR="002E6AA9" w:rsidRDefault="00000000">
      <w:pPr>
        <w:spacing w:after="100"/>
      </w:pPr>
      <w:r>
        <w:t xml:space="preserve">Mais attention : l’ISS fait le tour de la Terre en 90 minutes. Pendant environ 35 minutes de chaque orbite, elle passe dans l’ombre de la Terre. Plus de soleil ! Pour ne pas manquer d’électricité dans le noir, l’ISS stocke l’énergie dans de grosses </w:t>
      </w:r>
      <w:r>
        <w:rPr>
          <w:b/>
          <w:bCs/>
        </w:rPr>
        <w:t>batteries rechargeables</w:t>
      </w:r>
      <w:r>
        <w:t xml:space="preserve"> au lithium.</w:t>
      </w:r>
    </w:p>
    <w:p w14:paraId="0D20073D" w14:textId="77777777" w:rsidR="002E6AA9" w:rsidRDefault="00000000">
      <w:pPr>
        <w:pStyle w:val="Titre2"/>
      </w:pPr>
      <w:r>
        <w:t>Document 2 — L’énergie à bord du voilier de Violette</w:t>
      </w:r>
    </w:p>
    <w:p w14:paraId="20C26915" w14:textId="77777777" w:rsidR="002E6AA9" w:rsidRDefault="00000000">
      <w:pPr>
        <w:spacing w:after="100"/>
      </w:pPr>
      <w:r>
        <w:t xml:space="preserve">Pour avancer, le voilier de Violette utilise une énergie gratuite et illimitée : </w:t>
      </w:r>
      <w:r>
        <w:rPr>
          <w:b/>
          <w:bCs/>
        </w:rPr>
        <w:t>le vent</w:t>
      </w:r>
      <w:r>
        <w:t xml:space="preserve">, qui pousse ses voiles. Mais il faut aussi de l’électricité pour les instruments de navigation, le pilote automatique, les communications, le </w:t>
      </w:r>
      <w:proofErr w:type="spellStart"/>
      <w:r>
        <w:t>dessalinisateur</w:t>
      </w:r>
      <w:proofErr w:type="spellEnd"/>
      <w:r>
        <w:t xml:space="preserve"> (qui transforme l’eau de mer en eau douce) et l’éclairage.</w:t>
      </w:r>
    </w:p>
    <w:p w14:paraId="5D460DC3" w14:textId="77777777" w:rsidR="002E6AA9" w:rsidRDefault="00000000">
      <w:pPr>
        <w:spacing w:after="100"/>
      </w:pPr>
      <w:r>
        <w:t>Pour produire cette électricité, Violette dispose de plusieurs sources :</w:t>
      </w:r>
    </w:p>
    <w:p w14:paraId="638AE873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>Des panneaux solaires</w:t>
      </w:r>
      <w:r>
        <w:t xml:space="preserve"> fixés sur le pont du bateau, qui captent la lumière du Soleil.</w:t>
      </w:r>
    </w:p>
    <w:p w14:paraId="63047238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 xml:space="preserve">Un </w:t>
      </w:r>
      <w:proofErr w:type="spellStart"/>
      <w:r>
        <w:rPr>
          <w:b/>
          <w:bCs/>
        </w:rPr>
        <w:t>hydrogénérateur</w:t>
      </w:r>
      <w:proofErr w:type="spellEnd"/>
      <w:r>
        <w:t xml:space="preserve"> : une sorte d’hélice plongée dans l’eau. Quand le bateau avance, l’eau fait tourner l’hélice qui produit de l’électricité. Plus le bateau va vite, plus il produit d’énergie !</w:t>
      </w:r>
    </w:p>
    <w:p w14:paraId="3C9EC482" w14:textId="77777777" w:rsidR="002E6AA9" w:rsidRDefault="00000000">
      <w:pPr>
        <w:pStyle w:val="Paragraphedeliste"/>
        <w:numPr>
          <w:ilvl w:val="0"/>
          <w:numId w:val="2"/>
        </w:numPr>
        <w:spacing w:after="60"/>
      </w:pPr>
      <w:r>
        <w:rPr>
          <w:b/>
          <w:bCs/>
        </w:rPr>
        <w:t>Une éolienne</w:t>
      </w:r>
      <w:r>
        <w:t xml:space="preserve"> : le vent fait tourner ses pales, ce qui produit aussi de l’électricité.</w:t>
      </w:r>
    </w:p>
    <w:p w14:paraId="31E573DD" w14:textId="77777777" w:rsidR="002E6AA9" w:rsidRDefault="00000000">
      <w:pPr>
        <w:pStyle w:val="Paragraphedeliste"/>
        <w:numPr>
          <w:ilvl w:val="0"/>
          <w:numId w:val="2"/>
        </w:numPr>
        <w:spacing w:after="120"/>
      </w:pPr>
      <w:r>
        <w:rPr>
          <w:b/>
          <w:bCs/>
        </w:rPr>
        <w:t>Un moteur diesel</w:t>
      </w:r>
      <w:r>
        <w:t xml:space="preserve"> : il est obligatoire à bord pour des raisons de sécurité (porter secours à quelqu’un en mer, manœuvrer au port). Il sert aussi à produire de l’électricité en complément, notamment pour faire fonctionner le </w:t>
      </w:r>
      <w:proofErr w:type="spellStart"/>
      <w:r>
        <w:t>dessalinisateur</w:t>
      </w:r>
      <w:proofErr w:type="spellEnd"/>
      <w:r>
        <w:t>, très gourmand en énergie. Le règlement impose de garder au moins 20 litres de gasoil jusqu’à l’arrivée.</w:t>
      </w:r>
    </w:p>
    <w:p w14:paraId="4A9AA772" w14:textId="77777777" w:rsidR="002E6AA9" w:rsidRDefault="00000000">
      <w:pPr>
        <w:spacing w:after="100"/>
      </w:pPr>
      <w:r>
        <w:t xml:space="preserve">Toute cette énergie est stockée dans des </w:t>
      </w:r>
      <w:r>
        <w:rPr>
          <w:b/>
          <w:bCs/>
        </w:rPr>
        <w:t>batteries</w:t>
      </w:r>
      <w:r>
        <w:t xml:space="preserve"> pour les moments où le soleil ne brille pas ou le bateau ralentit.</w:t>
      </w:r>
    </w:p>
    <w:p w14:paraId="2A16A92A" w14:textId="77777777" w:rsidR="002E6AA9" w:rsidRDefault="00000000">
      <w:pPr>
        <w:pBdr>
          <w:left w:val="single" w:sz="12" w:space="4" w:color="F39C12"/>
        </w:pBdr>
        <w:shd w:val="clear" w:color="auto" w:fill="FFF3E0"/>
        <w:spacing w:after="160"/>
      </w:pPr>
      <w:r>
        <w:rPr>
          <w:b/>
          <w:bCs/>
          <w:color w:val="D35400"/>
        </w:rPr>
        <w:t xml:space="preserve"> Anecdote : </w:t>
      </w:r>
      <w:r>
        <w:t>Pendant son Vendée Globe, Violette a eu une grosse panne de moteur ! Elle a dû le réparer elle-même en pleine mer pour ne pas manquer d’électricité. Être navigatrice, c’est aussi être mécanicienne !</w:t>
      </w:r>
    </w:p>
    <w:p w14:paraId="4264878D" w14:textId="77777777" w:rsidR="002E6AA9" w:rsidRDefault="00000000">
      <w:pPr>
        <w:pStyle w:val="Titre2"/>
      </w:pPr>
      <w:r>
        <w:t>Activité 1 — J’ai bien compris</w:t>
      </w:r>
    </w:p>
    <w:p w14:paraId="25B0F727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a. </w:t>
      </w:r>
      <w:r>
        <w:t>Quelle est la source d’énergie principale de l’ISS ?</w:t>
      </w:r>
    </w:p>
    <w:p w14:paraId="11065F39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3C7FCF32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b. </w:t>
      </w:r>
      <w:r>
        <w:t>Pourquoi l’ISS a-t-elle besoin de batteries ?</w:t>
      </w:r>
    </w:p>
    <w:p w14:paraId="0E3C8191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42434755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2A144F70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c. </w:t>
      </w:r>
      <w:r>
        <w:t>Cite les quatre moyens utilisés par Violette pour produire de l’électricité.</w:t>
      </w:r>
    </w:p>
    <w:p w14:paraId="68384112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51253105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1AD672B9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d. </w:t>
      </w:r>
      <w:r>
        <w:t xml:space="preserve">Qu’est-ce qu’un </w:t>
      </w:r>
      <w:proofErr w:type="spellStart"/>
      <w:r>
        <w:t>hydrogénérateur</w:t>
      </w:r>
      <w:proofErr w:type="spellEnd"/>
      <w:r>
        <w:t xml:space="preserve"> ? Explique avec tes mots.</w:t>
      </w:r>
    </w:p>
    <w:p w14:paraId="2FFBD7E2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6B95C72D" w14:textId="77777777" w:rsidR="002E6AA9" w:rsidRDefault="00000000">
      <w:pPr>
        <w:pBdr>
          <w:bottom w:val="dotted" w:sz="1" w:space="1" w:color="BBBBBB"/>
        </w:pBdr>
        <w:spacing w:after="20"/>
      </w:pPr>
      <w:r>
        <w:lastRenderedPageBreak/>
        <w:t xml:space="preserve"> </w:t>
      </w:r>
    </w:p>
    <w:p w14:paraId="6C06ED86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e. </w:t>
      </w:r>
      <w:r>
        <w:t>Sophie et Violette ont un point commun pour stocker l’énergie. Lequel ?</w:t>
      </w:r>
    </w:p>
    <w:p w14:paraId="60D32856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1FBF526C" w14:textId="77777777" w:rsidR="002E6AA9" w:rsidRDefault="002E6AA9">
      <w:pPr>
        <w:spacing w:after="100"/>
      </w:pPr>
    </w:p>
    <w:p w14:paraId="09C9B149" w14:textId="77777777" w:rsidR="002E6AA9" w:rsidRDefault="00000000">
      <w:pPr>
        <w:pStyle w:val="Titre2"/>
      </w:pPr>
      <w:r>
        <w:t>Activité 2 — Renouvelable ou non renouvelable ?</w:t>
      </w:r>
    </w:p>
    <w:p w14:paraId="19A2EBE7" w14:textId="77777777" w:rsidR="002E6AA9" w:rsidRDefault="00000000">
      <w:pPr>
        <w:spacing w:after="120"/>
      </w:pPr>
      <w:r>
        <w:t>Classe chaque source d’énergie dans la bonne colonne du tableau. Aide-toi des documents.</w:t>
      </w:r>
    </w:p>
    <w:p w14:paraId="1A40C11B" w14:textId="77777777" w:rsidR="002E6AA9" w:rsidRDefault="00000000">
      <w:pPr>
        <w:spacing w:after="120"/>
        <w:jc w:val="center"/>
      </w:pPr>
      <w:proofErr w:type="gramStart"/>
      <w:r>
        <w:rPr>
          <w:b/>
          <w:bCs/>
          <w:color w:val="2E5090"/>
        </w:rPr>
        <w:t>Soleil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Vent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Gasoil  —</w:t>
      </w:r>
      <w:proofErr w:type="gramEnd"/>
      <w:r>
        <w:rPr>
          <w:b/>
          <w:bCs/>
          <w:color w:val="2E5090"/>
        </w:rPr>
        <w:t xml:space="preserve">  Courant de </w:t>
      </w:r>
      <w:proofErr w:type="gramStart"/>
      <w:r>
        <w:rPr>
          <w:b/>
          <w:bCs/>
          <w:color w:val="2E5090"/>
        </w:rPr>
        <w:t>l’eau  —</w:t>
      </w:r>
      <w:proofErr w:type="gramEnd"/>
      <w:r>
        <w:rPr>
          <w:b/>
          <w:bCs/>
          <w:color w:val="2E5090"/>
        </w:rPr>
        <w:t xml:space="preserve">  </w:t>
      </w:r>
      <w:proofErr w:type="gramStart"/>
      <w:r>
        <w:rPr>
          <w:b/>
          <w:bCs/>
          <w:color w:val="2E5090"/>
        </w:rPr>
        <w:t>Charbon  —</w:t>
      </w:r>
      <w:proofErr w:type="gramEnd"/>
      <w:r>
        <w:rPr>
          <w:b/>
          <w:bCs/>
          <w:color w:val="2E5090"/>
        </w:rPr>
        <w:t xml:space="preserve">  Gaz naturel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2E6AA9" w14:paraId="61F872CA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CE786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Énergies renouvelables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8ADACB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Énergies non renouvelables</w:t>
            </w:r>
          </w:p>
        </w:tc>
      </w:tr>
      <w:tr w:rsidR="002E6AA9" w14:paraId="2302B48E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588F7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3B6A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01FE8C03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5728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818D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4E70C17F" w14:textId="77777777">
        <w:tblPrEx>
          <w:tblCellMar>
            <w:top w:w="0" w:type="dxa"/>
            <w:bottom w:w="0" w:type="dxa"/>
          </w:tblCellMar>
        </w:tblPrEx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E0BA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116B3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6BBF143" w14:textId="77777777" w:rsidR="002E6AA9" w:rsidRDefault="002E6AA9">
      <w:pPr>
        <w:spacing w:after="60"/>
      </w:pPr>
    </w:p>
    <w:p w14:paraId="0323862A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f. </w:t>
      </w:r>
      <w:r>
        <w:t>Sophie n’utilise que des énergies renouvelables. Est-ce le cas de Violette aussi ? Explique.</w:t>
      </w:r>
    </w:p>
    <w:p w14:paraId="04DE9F2D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6B8D3160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22AC3146" w14:textId="77777777" w:rsidR="002E6AA9" w:rsidRDefault="00000000">
      <w:pPr>
        <w:spacing w:before="120" w:after="60"/>
      </w:pPr>
      <w:r>
        <w:rPr>
          <w:b/>
          <w:bCs/>
          <w:color w:val="2E5090"/>
        </w:rPr>
        <w:t xml:space="preserve">g. </w:t>
      </w:r>
      <w:r>
        <w:t>Pourquoi est-ce important d’utiliser des énergies renouvelables plutôt que des énergies non renouvelables ?</w:t>
      </w:r>
    </w:p>
    <w:p w14:paraId="42EB10F0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4EF59E1B" w14:textId="77777777" w:rsidR="002E6AA9" w:rsidRDefault="00000000">
      <w:pPr>
        <w:pBdr>
          <w:bottom w:val="dotted" w:sz="1" w:space="1" w:color="BBBBBB"/>
        </w:pBdr>
        <w:spacing w:after="20"/>
      </w:pPr>
      <w:r>
        <w:t xml:space="preserve"> </w:t>
      </w:r>
    </w:p>
    <w:p w14:paraId="3FBF4042" w14:textId="77777777" w:rsidR="002E6AA9" w:rsidRDefault="002E6AA9">
      <w:pPr>
        <w:spacing w:after="100"/>
      </w:pPr>
    </w:p>
    <w:p w14:paraId="271104A3" w14:textId="77777777" w:rsidR="002E6AA9" w:rsidRDefault="00000000">
      <w:pPr>
        <w:pStyle w:val="Titre2"/>
      </w:pPr>
      <w:r>
        <w:t>Activité 3 — Je compare</w:t>
      </w:r>
    </w:p>
    <w:p w14:paraId="52EBA0D4" w14:textId="77777777" w:rsidR="002E6AA9" w:rsidRDefault="00000000">
      <w:pPr>
        <w:spacing w:after="120"/>
      </w:pPr>
      <w:r>
        <w:t>Complète le tableau en t’aidant des documents.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253"/>
        <w:gridCol w:w="3253"/>
      </w:tblGrid>
      <w:tr w:rsidR="002E6AA9" w14:paraId="53E433F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5C706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0FB23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ISS (Sophie)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1F2BE7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Voilier (Violette)</w:t>
            </w:r>
          </w:p>
        </w:tc>
      </w:tr>
      <w:tr w:rsidR="002E6AA9" w14:paraId="68475B3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AEFC9" w14:textId="77777777" w:rsidR="002E6AA9" w:rsidRDefault="00000000">
            <w:r>
              <w:rPr>
                <w:b/>
                <w:bCs/>
                <w:sz w:val="20"/>
                <w:szCs w:val="20"/>
              </w:rPr>
              <w:t>Source d’énergie pour avancer / rester en orbite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DD66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7D65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73B8868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2437D" w14:textId="77777777" w:rsidR="002E6AA9" w:rsidRDefault="00000000">
            <w:r>
              <w:rPr>
                <w:b/>
                <w:bCs/>
                <w:sz w:val="20"/>
                <w:szCs w:val="20"/>
              </w:rPr>
              <w:t>Source(s) d’électricité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3E05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2197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632C2B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D089D" w14:textId="77777777" w:rsidR="002E6AA9" w:rsidRDefault="00000000">
            <w:r>
              <w:rPr>
                <w:b/>
                <w:bCs/>
                <w:sz w:val="20"/>
                <w:szCs w:val="20"/>
              </w:rPr>
              <w:t>Comment l’énergie est stockée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02B5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BFE01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0B10694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9A3816" w14:textId="77777777" w:rsidR="002E6AA9" w:rsidRDefault="00000000">
            <w:r>
              <w:rPr>
                <w:b/>
                <w:bCs/>
                <w:sz w:val="20"/>
                <w:szCs w:val="20"/>
              </w:rPr>
              <w:t>Utilise une énergie non renouvelable ?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67631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0F33F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5C76D24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A32415" w14:textId="77777777" w:rsidR="002E6AA9" w:rsidRDefault="00000000">
            <w:r>
              <w:rPr>
                <w:b/>
                <w:bCs/>
                <w:sz w:val="20"/>
                <w:szCs w:val="20"/>
              </w:rPr>
              <w:t>Renouvelable ou non renouvelable (majoritairement) ?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BECF5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E36BD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22BC8E9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E602F" w14:textId="77777777" w:rsidR="002E6AA9" w:rsidRDefault="00000000">
            <w:r>
              <w:rPr>
                <w:b/>
                <w:bCs/>
                <w:sz w:val="20"/>
                <w:szCs w:val="20"/>
              </w:rPr>
              <w:t>Problème quand il n’y a plus de source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CDC38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90E76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6B7533B" w14:textId="77777777" w:rsidR="002E6AA9" w:rsidRDefault="002E6AA9">
      <w:pPr>
        <w:spacing w:after="160"/>
      </w:pPr>
    </w:p>
    <w:p w14:paraId="3200DB7F" w14:textId="77777777" w:rsidR="002E6AA9" w:rsidRDefault="00000000">
      <w:pPr>
        <w:pBdr>
          <w:left w:val="single" w:sz="12" w:space="4" w:color="F39C12"/>
        </w:pBdr>
        <w:shd w:val="clear" w:color="auto" w:fill="FFF3E0"/>
        <w:spacing w:after="80"/>
      </w:pPr>
      <w:r>
        <w:rPr>
          <w:b/>
          <w:bCs/>
          <w:color w:val="D35400"/>
        </w:rPr>
        <w:t xml:space="preserve"> Le savais-tu ? </w:t>
      </w:r>
      <w:r>
        <w:t>Les panneaux solaires de l’ISS couvrent une surface de 2 500 m², soit presque la moitié d’un terrain de football ! Et quand l’</w:t>
      </w:r>
      <w:proofErr w:type="spellStart"/>
      <w:r>
        <w:t>hydrogénérateur</w:t>
      </w:r>
      <w:proofErr w:type="spellEnd"/>
      <w:r>
        <w:t xml:space="preserve"> de Violette tourne à plein régime, il peut alimenter l’équivalent de 10 ordinateurs portables. Pas mal pour une hélice dans l’eau !</w:t>
      </w:r>
    </w:p>
    <w:p w14:paraId="65F1618A" w14:textId="77777777" w:rsidR="002E6AA9" w:rsidRDefault="002E6AA9">
      <w:pPr>
        <w:spacing w:after="120"/>
      </w:pPr>
    </w:p>
    <w:p w14:paraId="7837D321" w14:textId="77777777" w:rsidR="002E6AA9" w:rsidRDefault="00000000">
      <w:pPr>
        <w:pStyle w:val="Titre2"/>
      </w:pPr>
      <w:r>
        <w:lastRenderedPageBreak/>
        <w:t>Activité 4 — Pour aller plus loin</w:t>
      </w:r>
    </w:p>
    <w:p w14:paraId="10AB9DB1" w14:textId="77777777" w:rsidR="002E6AA9" w:rsidRDefault="00000000">
      <w:pPr>
        <w:spacing w:after="100"/>
      </w:pPr>
      <w:r>
        <w:t>Et toi, quelles sources d’énergie utilises-tu au quotidien ? Pense à ta maison, ton école, tes déplacements. Cite au moins trois exemples et indique pour chacun s’il s’agit d’une énergie renouvelable ou non.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3153"/>
        <w:gridCol w:w="3153"/>
      </w:tblGrid>
      <w:tr w:rsidR="002E6AA9" w14:paraId="2EADE10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CD36CA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Ce que j’utilise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BBB2A8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Source d’énergie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1B79C" w14:textId="77777777" w:rsidR="002E6AA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Renouvelable ?</w:t>
            </w:r>
          </w:p>
        </w:tc>
      </w:tr>
      <w:tr w:rsidR="002E6AA9" w14:paraId="6515FD1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F491F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la lumière de ma chambre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51A34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électricité (centrale nucléaire)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8B24F8" w14:textId="77777777" w:rsidR="002E6AA9" w:rsidRDefault="00000000">
            <w:r>
              <w:rPr>
                <w:i/>
                <w:iCs/>
                <w:color w:val="999999"/>
                <w:sz w:val="20"/>
                <w:szCs w:val="20"/>
              </w:rPr>
              <w:t>Ex : non renouvelable</w:t>
            </w:r>
          </w:p>
        </w:tc>
      </w:tr>
      <w:tr w:rsidR="002E6AA9" w14:paraId="2371D3B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BEBCC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1B5A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342AD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564F1E1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410C2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3D74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7128A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E6AA9" w14:paraId="2C8573C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2FA2E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8480AB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8DE4F" w14:textId="77777777" w:rsidR="002E6AA9" w:rsidRDefault="00000000">
            <w:pPr>
              <w:spacing w:after="20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6B6CB5F" w14:textId="77777777" w:rsidR="00121B74" w:rsidRDefault="00121B74"/>
    <w:sectPr w:rsidR="00121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246E" w14:textId="77777777" w:rsidR="00121B74" w:rsidRDefault="00121B74">
      <w:r>
        <w:separator/>
      </w:r>
    </w:p>
  </w:endnote>
  <w:endnote w:type="continuationSeparator" w:id="0">
    <w:p w14:paraId="72120D59" w14:textId="77777777" w:rsidR="00121B74" w:rsidRDefault="0012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DA43" w14:textId="77777777" w:rsidR="005A67DC" w:rsidRDefault="005A67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5425" w14:textId="77777777" w:rsidR="002E6AA9" w:rsidRDefault="00000000">
    <w:pPr>
      <w:jc w:val="center"/>
    </w:pPr>
    <w:r>
      <w:rPr>
        <w:color w:val="888888"/>
        <w:sz w:val="16"/>
        <w:szCs w:val="16"/>
      </w:rPr>
      <w:t xml:space="preserve">Sophie &amp; Violette — Deux aventurières, deux éléments —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F3D7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1F4B" w14:textId="77777777" w:rsidR="005A67DC" w:rsidRDefault="005A67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28DA" w14:textId="77777777" w:rsidR="00121B74" w:rsidRDefault="00121B74">
      <w:r>
        <w:separator/>
      </w:r>
    </w:p>
  </w:footnote>
  <w:footnote w:type="continuationSeparator" w:id="0">
    <w:p w14:paraId="4E9E658D" w14:textId="77777777" w:rsidR="00121B74" w:rsidRDefault="0012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2384" w14:textId="77777777" w:rsidR="005A67DC" w:rsidRDefault="005A67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5508" w14:textId="2A78C6B1" w:rsidR="002E6AA9" w:rsidRDefault="00000000">
    <w:pPr>
      <w:jc w:val="right"/>
    </w:pPr>
    <w:r>
      <w:rPr>
        <w:i/>
        <w:iCs/>
        <w:color w:val="888888"/>
        <w:sz w:val="16"/>
        <w:szCs w:val="16"/>
      </w:rPr>
      <w:t>Sciences et technologie — Cycle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5A26" w14:textId="77777777" w:rsidR="005A67DC" w:rsidRDefault="005A67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5E51"/>
    <w:multiLevelType w:val="hybridMultilevel"/>
    <w:tmpl w:val="0F20AEC0"/>
    <w:lvl w:ilvl="0" w:tplc="B1C6AD10">
      <w:start w:val="1"/>
      <w:numFmt w:val="bullet"/>
      <w:lvlText w:val="•"/>
      <w:lvlJc w:val="left"/>
      <w:pPr>
        <w:ind w:left="720" w:hanging="360"/>
      </w:pPr>
    </w:lvl>
    <w:lvl w:ilvl="1" w:tplc="DAF8ED24">
      <w:numFmt w:val="decimal"/>
      <w:lvlText w:val=""/>
      <w:lvlJc w:val="left"/>
    </w:lvl>
    <w:lvl w:ilvl="2" w:tplc="3200A0FE">
      <w:numFmt w:val="decimal"/>
      <w:lvlText w:val=""/>
      <w:lvlJc w:val="left"/>
    </w:lvl>
    <w:lvl w:ilvl="3" w:tplc="D95ACD8C">
      <w:numFmt w:val="decimal"/>
      <w:lvlText w:val=""/>
      <w:lvlJc w:val="left"/>
    </w:lvl>
    <w:lvl w:ilvl="4" w:tplc="05B0961A">
      <w:numFmt w:val="decimal"/>
      <w:lvlText w:val=""/>
      <w:lvlJc w:val="left"/>
    </w:lvl>
    <w:lvl w:ilvl="5" w:tplc="DE0E6C2A">
      <w:numFmt w:val="decimal"/>
      <w:lvlText w:val=""/>
      <w:lvlJc w:val="left"/>
    </w:lvl>
    <w:lvl w:ilvl="6" w:tplc="F8AEC890">
      <w:numFmt w:val="decimal"/>
      <w:lvlText w:val=""/>
      <w:lvlJc w:val="left"/>
    </w:lvl>
    <w:lvl w:ilvl="7" w:tplc="E9E815F6">
      <w:numFmt w:val="decimal"/>
      <w:lvlText w:val=""/>
      <w:lvlJc w:val="left"/>
    </w:lvl>
    <w:lvl w:ilvl="8" w:tplc="CF160070">
      <w:numFmt w:val="decimal"/>
      <w:lvlText w:val=""/>
      <w:lvlJc w:val="left"/>
    </w:lvl>
  </w:abstractNum>
  <w:abstractNum w:abstractNumId="1" w15:restartNumberingAfterBreak="0">
    <w:nsid w:val="51FB5CF0"/>
    <w:multiLevelType w:val="hybridMultilevel"/>
    <w:tmpl w:val="583ED700"/>
    <w:lvl w:ilvl="0" w:tplc="C03E9DC6">
      <w:start w:val="1"/>
      <w:numFmt w:val="bullet"/>
      <w:lvlText w:val="●"/>
      <w:lvlJc w:val="left"/>
      <w:pPr>
        <w:ind w:left="720" w:hanging="360"/>
      </w:pPr>
    </w:lvl>
    <w:lvl w:ilvl="1" w:tplc="2534BFA0">
      <w:start w:val="1"/>
      <w:numFmt w:val="bullet"/>
      <w:lvlText w:val="○"/>
      <w:lvlJc w:val="left"/>
      <w:pPr>
        <w:ind w:left="1440" w:hanging="360"/>
      </w:pPr>
    </w:lvl>
    <w:lvl w:ilvl="2" w:tplc="04CA09C8">
      <w:start w:val="1"/>
      <w:numFmt w:val="bullet"/>
      <w:lvlText w:val="■"/>
      <w:lvlJc w:val="left"/>
      <w:pPr>
        <w:ind w:left="2160" w:hanging="360"/>
      </w:pPr>
    </w:lvl>
    <w:lvl w:ilvl="3" w:tplc="79C4D91E">
      <w:start w:val="1"/>
      <w:numFmt w:val="bullet"/>
      <w:lvlText w:val="●"/>
      <w:lvlJc w:val="left"/>
      <w:pPr>
        <w:ind w:left="2880" w:hanging="360"/>
      </w:pPr>
    </w:lvl>
    <w:lvl w:ilvl="4" w:tplc="FE2A426C">
      <w:start w:val="1"/>
      <w:numFmt w:val="bullet"/>
      <w:lvlText w:val="○"/>
      <w:lvlJc w:val="left"/>
      <w:pPr>
        <w:ind w:left="3600" w:hanging="360"/>
      </w:pPr>
    </w:lvl>
    <w:lvl w:ilvl="5" w:tplc="87426546">
      <w:start w:val="1"/>
      <w:numFmt w:val="bullet"/>
      <w:lvlText w:val="■"/>
      <w:lvlJc w:val="left"/>
      <w:pPr>
        <w:ind w:left="4320" w:hanging="360"/>
      </w:pPr>
    </w:lvl>
    <w:lvl w:ilvl="6" w:tplc="A4689D0E">
      <w:start w:val="1"/>
      <w:numFmt w:val="bullet"/>
      <w:lvlText w:val="●"/>
      <w:lvlJc w:val="left"/>
      <w:pPr>
        <w:ind w:left="5040" w:hanging="360"/>
      </w:pPr>
    </w:lvl>
    <w:lvl w:ilvl="7" w:tplc="91A6F568">
      <w:start w:val="1"/>
      <w:numFmt w:val="bullet"/>
      <w:lvlText w:val="●"/>
      <w:lvlJc w:val="left"/>
      <w:pPr>
        <w:ind w:left="5760" w:hanging="360"/>
      </w:pPr>
    </w:lvl>
    <w:lvl w:ilvl="8" w:tplc="5664ABD8">
      <w:start w:val="1"/>
      <w:numFmt w:val="bullet"/>
      <w:lvlText w:val="●"/>
      <w:lvlJc w:val="left"/>
      <w:pPr>
        <w:ind w:left="6480" w:hanging="360"/>
      </w:pPr>
    </w:lvl>
  </w:abstractNum>
  <w:num w:numId="1" w16cid:durableId="1661233778">
    <w:abstractNumId w:val="1"/>
    <w:lvlOverride w:ilvl="0">
      <w:startOverride w:val="1"/>
    </w:lvlOverride>
  </w:num>
  <w:num w:numId="2" w16cid:durableId="15104880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9"/>
    <w:rsid w:val="00121B74"/>
    <w:rsid w:val="002E6AA9"/>
    <w:rsid w:val="005A67DC"/>
    <w:rsid w:val="009F3D7A"/>
    <w:rsid w:val="00F2693E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4D5A04"/>
  <w15:docId w15:val="{B261E5F5-3F8B-5E40-A7DF-E6ABEFE8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00"/>
      <w:outlineLvl w:val="0"/>
    </w:pPr>
    <w:rPr>
      <w:b/>
      <w:bCs/>
      <w:color w:val="2E5090"/>
      <w:sz w:val="36"/>
      <w:szCs w:val="36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D35400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160" w:after="100"/>
      <w:outlineLvl w:val="2"/>
    </w:pPr>
    <w:rPr>
      <w:b/>
      <w:bCs/>
      <w:color w:val="2E509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A67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7DC"/>
  </w:style>
  <w:style w:type="paragraph" w:styleId="Pieddepage">
    <w:name w:val="footer"/>
    <w:basedOn w:val="Normal"/>
    <w:link w:val="PieddepageCar"/>
    <w:uiPriority w:val="99"/>
    <w:unhideWhenUsed/>
    <w:rsid w:val="005A67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700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Silvie Nizet</cp:lastModifiedBy>
  <cp:revision>4</cp:revision>
  <dcterms:created xsi:type="dcterms:W3CDTF">2026-03-30T13:29:00Z</dcterms:created>
  <dcterms:modified xsi:type="dcterms:W3CDTF">2026-03-30T13:39:00Z</dcterms:modified>
</cp:coreProperties>
</file>